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2B0"/>
        </w:rPr>
        <w:t>KI-Richtlinie für Beschäftigte · Vorlage</w:t>
      </w:r>
    </w:p>
    <w:p>
      <w:pPr>
        <w:pStyle w:val="Title"/>
      </w:pPr>
      <w:r>
        <w:t>Richtlinie zur Nutzung von KI-Werkzeugen</w:t>
      </w:r>
    </w:p>
    <w:p>
      <w:r>
        <w:t>[Name des Unternehmens]</w:t>
      </w:r>
    </w:p>
    <w:p>
      <w:r>
        <w:rPr>
          <w:i/>
          <w:color w:val="757570"/>
        </w:rPr>
        <w:t>Passt die eckigen Klammern an, löscht die grauen Hinweise und stimmt die Richtlinie mit Datenschutz, IT und, falls vorhanden, Betriebsrat ab. Keine Rechtsberatung.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t>Version / gültig ab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Verantwortlich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Abgestimmt mit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Nächste Überprüfung</w:t>
            </w:r>
          </w:p>
        </w:tc>
        <w:tc>
          <w:tcPr>
            <w:tcW w:type="dxa" w:w="4986"/>
          </w:tcPr>
          <w:p>
            <w:r/>
          </w:p>
        </w:tc>
      </w:tr>
    </w:tbl>
    <w:p>
      <w:pPr>
        <w:pStyle w:val="Heading1"/>
      </w:pPr>
      <w:r>
        <w:t>1  Zweck und Geltungsbereich</w:t>
      </w:r>
    </w:p>
    <w:p>
      <w:r>
        <w:rPr>
          <w:i/>
          <w:color w:val="757570"/>
          <w:sz w:val="18"/>
        </w:rPr>
        <w:t>Kurz halten. Wer ist gemeint, welche Nutzung ist gemeint?</w:t>
      </w:r>
    </w:p>
    <w:p>
      <w:r>
        <w:t>Diese Richtlinie regelt, wie Beschäftigte von [Unternehmen] KI-Werkzeuge für ihre Arbeit nutzen. Sie gilt für alle Beschäftigten, Auszubildenden und Praktikanten sowie für externe Personen, die in unserem Auftrag mit unseren Daten arbeiten.</w:t>
      </w:r>
    </w:p>
    <w:p>
      <w:r>
        <w:t>Wir wollen, dass KI unsere Arbeit erleichtert. Diese Richtlinie soll dabei helfen, sie sicher, rechtmäßig und mit Verstand einzusetzen. Ausprobieren ist ausdrücklich erwünscht, innerhalb der Regeln unten.</w:t>
      </w:r>
    </w:p>
    <w:p/>
    <w:p>
      <w:pPr>
        <w:pStyle w:val="Heading1"/>
      </w:pPr>
      <w:r>
        <w:t>2  Grundregeln</w:t>
      </w:r>
    </w:p>
    <w:p>
      <w:r>
        <w:rPr>
          <w:i/>
          <w:color w:val="757570"/>
          <w:sz w:val="18"/>
        </w:rPr>
        <w:t>Die wichtigsten Regeln auf einen Blick. Diese Seite ist die, die alle lesen.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Was dann passiert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gilt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Firmenkonto</w:t>
            </w:r>
          </w:p>
        </w:tc>
        <w:tc>
          <w:tcPr>
            <w:tcW w:type="dxa" w:w="3324"/>
          </w:tcPr>
          <w:p>
            <w:r>
              <w:t>Für die Arbeit nutzen wir nur freigegebene Werkzeuge mit Firmenkonto, keine privaten Konten.</w:t>
            </w:r>
          </w:p>
        </w:tc>
        <w:tc>
          <w:tcPr>
            <w:tcW w:type="dxa" w:w="3324"/>
          </w:tcPr>
          <w:p>
            <w:r>
              <w:t>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Daten-Ampel</w:t>
            </w:r>
          </w:p>
        </w:tc>
        <w:tc>
          <w:tcPr>
            <w:tcW w:type="dxa" w:w="3324"/>
          </w:tcPr>
          <w:p>
            <w:r>
              <w:t>Welche Daten in welches Werkzeug dürfen, steht in Abschnitt 4. Im Zweifel nur öffentliche Daten.</w:t>
            </w:r>
          </w:p>
        </w:tc>
        <w:tc>
          <w:tcPr>
            <w:tcW w:type="dxa" w:w="3324"/>
          </w:tcPr>
          <w:p>
            <w:r>
              <w:t>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Prüfen</w:t>
            </w:r>
          </w:p>
        </w:tc>
        <w:tc>
          <w:tcPr>
            <w:tcW w:type="dxa" w:w="3324"/>
          </w:tcPr>
          <w:p>
            <w:r>
              <w:t>Wer ein KI-Ergebnis weitergibt, hat es geprüft und verantwortet es wie eigene Arbeit.</w:t>
            </w:r>
          </w:p>
        </w:tc>
        <w:tc>
          <w:tcPr>
            <w:tcW w:type="dxa" w:w="3324"/>
          </w:tcPr>
          <w:p>
            <w:r>
              <w:t>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Mensch entscheidet</w:t>
            </w:r>
          </w:p>
        </w:tc>
        <w:tc>
          <w:tcPr>
            <w:tcW w:type="dxa" w:w="3324"/>
          </w:tcPr>
          <w:p>
            <w:r>
              <w:t>Entscheidungen über Menschen trifft immer ein Mensch, nie die KI allein.</w:t>
            </w:r>
          </w:p>
        </w:tc>
        <w:tc>
          <w:tcPr>
            <w:tcW w:type="dxa" w:w="3324"/>
          </w:tcPr>
          <w:p>
            <w:r>
              <w:t>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Fragen und melden</w:t>
            </w:r>
          </w:p>
        </w:tc>
        <w:tc>
          <w:tcPr>
            <w:tcW w:type="dxa" w:w="3324"/>
          </w:tcPr>
          <w:p>
            <w:r>
              <w:t>Bei Unsicherheit fragen wir die Ansprechperson. Fehler melden wir sofort, ohne Angst vor Strafe.</w:t>
            </w:r>
          </w:p>
        </w:tc>
        <w:tc>
          <w:tcPr>
            <w:tcW w:type="dxa" w:w="3324"/>
          </w:tcPr>
          <w:p>
            <w:r>
              <w:t>☐</w:t>
            </w:r>
          </w:p>
        </w:tc>
      </w:tr>
    </w:tbl>
    <w:p/>
    <w:p>
      <w:pPr>
        <w:pStyle w:val="Heading1"/>
      </w:pPr>
      <w:r>
        <w:t>3  Freigegebene Werkzeuge</w:t>
      </w:r>
    </w:p>
    <w:p>
      <w:r>
        <w:rPr>
          <w:i/>
          <w:color w:val="757570"/>
          <w:sz w:val="18"/>
        </w:rPr>
        <w:t>Nur hier eingetragene Werkzeuge sind freigegeben. Für jedes: Firmenkonto, Auftragsverarbeitungsvertrag, Training auf Eingaben abgeschaltet, Verlauf geregelt. Die Liste wird bei jeder Änderung aktualisiert.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Werkzeug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Konto und Vertrag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Erlaubte Datenklassen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Wofür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Ansprechperson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pPr>
        <w:pStyle w:val="Heading1"/>
      </w:pPr>
      <w:r>
        <w:t>4  Daten-Ampel</w:t>
      </w:r>
    </w:p>
    <w:p>
      <w:r>
        <w:rPr>
          <w:i/>
          <w:color w:val="757570"/>
          <w:sz w:val="18"/>
        </w:rPr>
        <w:t>Ordnet jede Information einer Klasse zu, passt die Klassen an eure Informationsklassifizierung an und ergänzt Beispiele aus eurem Haus. Gelb heißt: nur mit dokumentierter Freigabe durch Datenschutz, etwa nach Datenschutz-Folgenabschätzung.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Datenklasse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Beispiele bei uns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Frei verfügbares Werkzeug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Freigegebenes Firmenkonto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  <w:sz w:val="18"/>
              </w:rPr>
              <w:t>Interne Plattform</w:t>
            </w:r>
          </w:p>
        </w:tc>
      </w:tr>
      <w:tr>
        <w:tc>
          <w:tcPr>
            <w:tcW w:type="dxa" w:w="1994"/>
          </w:tcPr>
          <w:p>
            <w:r>
              <w:rPr>
                <w:sz w:val="18"/>
              </w:rPr>
              <w:t>Öffentlich</w:t>
            </w:r>
          </w:p>
        </w:tc>
        <w:tc>
          <w:tcPr>
            <w:tcW w:type="dxa" w:w="1994"/>
          </w:tcPr>
          <w:p>
            <w:r>
              <w:rPr>
                <w:sz w:val="18"/>
              </w:rPr>
              <w:t>Website-Texte, Pressemitteilungen, veröffentlichte Produktinfos</w:t>
            </w:r>
          </w:p>
        </w:tc>
        <w:tc>
          <w:tcPr>
            <w:tcW w:type="dxa" w:w="1994"/>
            <w:shd w:val="clear" w:color="auto" w:fill="DDEFE2"/>
          </w:tcPr>
          <w:p>
            <w:r>
              <w:rPr>
                <w:b/>
                <w:sz w:val="18"/>
              </w:rPr>
              <w:t>erlaubt</w:t>
            </w:r>
          </w:p>
        </w:tc>
        <w:tc>
          <w:tcPr>
            <w:tcW w:type="dxa" w:w="1994"/>
            <w:shd w:val="clear" w:color="auto" w:fill="DDEFE2"/>
          </w:tcPr>
          <w:p>
            <w:r>
              <w:rPr>
                <w:b/>
                <w:sz w:val="18"/>
              </w:rPr>
              <w:t>erlaubt</w:t>
            </w:r>
          </w:p>
        </w:tc>
        <w:tc>
          <w:tcPr>
            <w:tcW w:type="dxa" w:w="1994"/>
            <w:shd w:val="clear" w:color="auto" w:fill="DDEFE2"/>
          </w:tcPr>
          <w:p>
            <w:r>
              <w:rPr>
                <w:b/>
                <w:sz w:val="18"/>
              </w:rPr>
              <w:t>erlaubt</w:t>
            </w:r>
          </w:p>
        </w:tc>
      </w:tr>
      <w:tr>
        <w:tc>
          <w:tcPr>
            <w:tcW w:type="dxa" w:w="1994"/>
          </w:tcPr>
          <w:p>
            <w:r>
              <w:rPr>
                <w:sz w:val="18"/>
              </w:rPr>
              <w:t>Intern</w:t>
            </w:r>
          </w:p>
        </w:tc>
        <w:tc>
          <w:tcPr>
            <w:tcW w:type="dxa" w:w="1994"/>
          </w:tcPr>
          <w:p>
            <w:r>
              <w:rPr>
                <w:sz w:val="18"/>
              </w:rPr>
              <w:t>Protokolle, interne Anleitungen, Entwürfe ohne Kundendaten</w:t>
            </w:r>
          </w:p>
        </w:tc>
        <w:tc>
          <w:tcPr>
            <w:tcW w:type="dxa" w:w="1994"/>
            <w:shd w:val="clear" w:color="auto" w:fill="FBE1DD"/>
          </w:tcPr>
          <w:p>
            <w:r>
              <w:rPr>
                <w:b/>
                <w:sz w:val="18"/>
              </w:rPr>
              <w:t>nie</w:t>
            </w:r>
          </w:p>
        </w:tc>
        <w:tc>
          <w:tcPr>
            <w:tcW w:type="dxa" w:w="1994"/>
            <w:shd w:val="clear" w:color="auto" w:fill="DDEFE2"/>
          </w:tcPr>
          <w:p>
            <w:r>
              <w:rPr>
                <w:b/>
                <w:sz w:val="18"/>
              </w:rPr>
              <w:t>erlaubt</w:t>
            </w:r>
          </w:p>
        </w:tc>
        <w:tc>
          <w:tcPr>
            <w:tcW w:type="dxa" w:w="1994"/>
            <w:shd w:val="clear" w:color="auto" w:fill="DDEFE2"/>
          </w:tcPr>
          <w:p>
            <w:r>
              <w:rPr>
                <w:b/>
                <w:sz w:val="18"/>
              </w:rPr>
              <w:t>erlaubt</w:t>
            </w:r>
          </w:p>
        </w:tc>
      </w:tr>
      <w:tr>
        <w:tc>
          <w:tcPr>
            <w:tcW w:type="dxa" w:w="1994"/>
          </w:tcPr>
          <w:p>
            <w:r>
              <w:rPr>
                <w:sz w:val="18"/>
              </w:rPr>
              <w:t>Vertraulich</w:t>
            </w:r>
          </w:p>
        </w:tc>
        <w:tc>
          <w:tcPr>
            <w:tcW w:type="dxa" w:w="1994"/>
          </w:tcPr>
          <w:p>
            <w:r>
              <w:rPr>
                <w:sz w:val="18"/>
              </w:rPr>
              <w:t>Angebote, Verträge, Kalkulationen, Konstruktionsdaten</w:t>
            </w:r>
          </w:p>
        </w:tc>
        <w:tc>
          <w:tcPr>
            <w:tcW w:type="dxa" w:w="1994"/>
            <w:shd w:val="clear" w:color="auto" w:fill="FBE1DD"/>
          </w:tcPr>
          <w:p>
            <w:r>
              <w:rPr>
                <w:b/>
                <w:sz w:val="18"/>
              </w:rPr>
              <w:t>nie</w:t>
            </w:r>
          </w:p>
        </w:tc>
        <w:tc>
          <w:tcPr>
            <w:tcW w:type="dxa" w:w="1994"/>
            <w:shd w:val="clear" w:color="auto" w:fill="FFF1CC"/>
          </w:tcPr>
          <w:p>
            <w:r>
              <w:rPr>
                <w:b/>
                <w:sz w:val="18"/>
              </w:rPr>
              <w:t>nur mit Freigabe</w:t>
            </w:r>
          </w:p>
        </w:tc>
        <w:tc>
          <w:tcPr>
            <w:tcW w:type="dxa" w:w="1994"/>
            <w:shd w:val="clear" w:color="auto" w:fill="DDEFE2"/>
          </w:tcPr>
          <w:p>
            <w:r>
              <w:rPr>
                <w:b/>
                <w:sz w:val="18"/>
              </w:rPr>
              <w:t>erlaubt</w:t>
            </w:r>
          </w:p>
        </w:tc>
      </w:tr>
      <w:tr>
        <w:tc>
          <w:tcPr>
            <w:tcW w:type="dxa" w:w="1994"/>
          </w:tcPr>
          <w:p>
            <w:r>
              <w:rPr>
                <w:sz w:val="18"/>
              </w:rPr>
              <w:t>Personenbezogen</w:t>
            </w:r>
          </w:p>
        </w:tc>
        <w:tc>
          <w:tcPr>
            <w:tcW w:type="dxa" w:w="1994"/>
          </w:tcPr>
          <w:p>
            <w:r>
              <w:rPr>
                <w:sz w:val="18"/>
              </w:rPr>
              <w:t>Kunden- und Beschäftigtendaten, E-Mails mit Namen</w:t>
            </w:r>
          </w:p>
        </w:tc>
        <w:tc>
          <w:tcPr>
            <w:tcW w:type="dxa" w:w="1994"/>
            <w:shd w:val="clear" w:color="auto" w:fill="FBE1DD"/>
          </w:tcPr>
          <w:p>
            <w:r>
              <w:rPr>
                <w:b/>
                <w:sz w:val="18"/>
              </w:rPr>
              <w:t>nie</w:t>
            </w:r>
          </w:p>
        </w:tc>
        <w:tc>
          <w:tcPr>
            <w:tcW w:type="dxa" w:w="1994"/>
            <w:shd w:val="clear" w:color="auto" w:fill="FFF1CC"/>
          </w:tcPr>
          <w:p>
            <w:r>
              <w:rPr>
                <w:b/>
                <w:sz w:val="18"/>
              </w:rPr>
              <w:t>nur mit Freigabe</w:t>
            </w:r>
          </w:p>
        </w:tc>
        <w:tc>
          <w:tcPr>
            <w:tcW w:type="dxa" w:w="1994"/>
            <w:shd w:val="clear" w:color="auto" w:fill="FFF1CC"/>
          </w:tcPr>
          <w:p>
            <w:r>
              <w:rPr>
                <w:b/>
                <w:sz w:val="18"/>
              </w:rPr>
              <w:t>nur mit Freigabe</w:t>
            </w:r>
          </w:p>
        </w:tc>
      </w:tr>
      <w:tr>
        <w:tc>
          <w:tcPr>
            <w:tcW w:type="dxa" w:w="1994"/>
          </w:tcPr>
          <w:p>
            <w:r>
              <w:rPr>
                <w:sz w:val="18"/>
              </w:rPr>
              <w:t>Streng geschützt</w:t>
            </w:r>
          </w:p>
        </w:tc>
        <w:tc>
          <w:tcPr>
            <w:tcW w:type="dxa" w:w="1994"/>
          </w:tcPr>
          <w:p>
            <w:r>
              <w:rPr>
                <w:sz w:val="18"/>
              </w:rPr>
              <w:t>Gesundheits-, Bewerbungs-, Entgeltdaten, Passwörter, Zugangsdaten</w:t>
            </w:r>
          </w:p>
        </w:tc>
        <w:tc>
          <w:tcPr>
            <w:tcW w:type="dxa" w:w="1994"/>
            <w:shd w:val="clear" w:color="auto" w:fill="FBE1DD"/>
          </w:tcPr>
          <w:p>
            <w:r>
              <w:rPr>
                <w:b/>
                <w:sz w:val="18"/>
              </w:rPr>
              <w:t>nie</w:t>
            </w:r>
          </w:p>
        </w:tc>
        <w:tc>
          <w:tcPr>
            <w:tcW w:type="dxa" w:w="1994"/>
            <w:shd w:val="clear" w:color="auto" w:fill="FBE1DD"/>
          </w:tcPr>
          <w:p>
            <w:r>
              <w:rPr>
                <w:b/>
                <w:sz w:val="18"/>
              </w:rPr>
              <w:t>nie</w:t>
            </w:r>
          </w:p>
        </w:tc>
        <w:tc>
          <w:tcPr>
            <w:tcW w:type="dxa" w:w="1994"/>
            <w:shd w:val="clear" w:color="auto" w:fill="FBE1DD"/>
          </w:tcPr>
          <w:p>
            <w:r>
              <w:rPr>
                <w:b/>
                <w:sz w:val="18"/>
              </w:rPr>
              <w:t>nie</w:t>
            </w:r>
          </w:p>
        </w:tc>
      </w:tr>
    </w:tbl>
    <w:p/>
    <w:p>
      <w:pPr>
        <w:pStyle w:val="Heading1"/>
      </w:pPr>
      <w:r>
        <w:t>5  Erlaubte und untersagte Einsätze</w:t>
      </w:r>
    </w:p>
    <w:p>
      <w:r>
        <w:rPr>
          <w:i/>
          <w:color w:val="757570"/>
          <w:sz w:val="18"/>
        </w:rPr>
        <w:t>Ergänzt je fünf Beispiele aus euren Abteilungen. Die untersagten Punkte in den ersten Zeilen sind rechtlich begründet und sollten bleiben.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rPr>
                <w:b/>
                <w:sz w:val="18"/>
              </w:rPr>
              <w:t>Erwünscht oder erlaubt</w:t>
            </w:r>
          </w:p>
        </w:tc>
        <w:tc>
          <w:tcPr>
            <w:tcW w:type="dxa" w:w="4986"/>
            <w:shd w:val="clear" w:color="auto" w:fill="F5F4EF"/>
          </w:tcPr>
          <w:p>
            <w:r>
              <w:rPr>
                <w:b/>
                <w:sz w:val="18"/>
              </w:rPr>
              <w:t>Untersagt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Texte entwerfen, kürzen, übersetzen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Emotionen von Beschäftigten oder Bewerbern erkennen (Art. 5 KI-Verordnung)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Protokolle und Zusammenfassungen interner Besprechungen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Entscheidungen über Menschen allein durch KI (Art. 22 DSGVO)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Recherche mit anschließender Prüfung der Quellen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Bewerbungen, Leistung oder Verhalten von Beschäftigten mit KI bewerten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Ideen und Gliederungen für Präsentationen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Deepfakes realer Personen, ungekennzeichnete KI-Bilder in der Werbung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[Beispiel aus eurem Haus]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KI-Ergebnisse ungeprüft an Kunden oder Behörden geben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[Beispiel aus eurem Haus]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[Beispiel aus eurem Haus]</w:t>
            </w:r>
          </w:p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p/>
    <w:p>
      <w:pPr>
        <w:pStyle w:val="Heading1"/>
      </w:pPr>
      <w:r>
        <w:t>6  Prüfen, verantworten, kennzeichnen</w:t>
      </w:r>
    </w:p>
    <w:p>
      <w:r>
        <w:rPr>
          <w:i/>
          <w:color w:val="757570"/>
          <w:sz w:val="18"/>
        </w:rPr>
        <w:t>Regelt, wie geprüft wird und wann gekennzeichnet wird. Gesetzlich nötig ist die Kennzeichnung vor allem bei Deepfakes und bestimmten Texten für die Öffentlichkeit (Art. 50 KI-Verordnung).</w:t>
      </w:r>
    </w:p>
    <w:p>
      <w:r>
        <w:t>Zahlen, Zitate, Quellen und rechtliche Aussagen aus KI-Ergebnissen werden vor der Weitergabe geprüft. Was an Kunden, Behörden oder die Öffentlichkeit geht und aus Anwendungsfällen mit höherem Risiko stammt, prüft zusätzlich eine zweite Person.</w:t>
      </w:r>
    </w:p>
    <w:p>
      <w:r>
        <w:t>KI-erzeugte Bilder, Videos und Audios kennzeichnen wir, wenn sie veröffentlicht werden. Deepfakes realer Personen erstellen wir nicht. Intern weisen wir auf KI-Unterstützung hin, wenn ein Inhalt nicht fachlich geprüft ist.</w:t>
      </w:r>
    </w:p>
    <w:p>
      <w:r>
        <w:t>Formulierung für die Kennzeichnung: „Erstellt mit Unterstützung eines KI-Werkzeugs und von [Name/Abteilung] geprüft.“</w:t>
      </w:r>
    </w:p>
    <w:p/>
    <w:p>
      <w:pPr>
        <w:pStyle w:val="Heading1"/>
      </w:pPr>
      <w:r>
        <w:t>7  Urheberrecht, Geschäftsgeheimnisse, Datenschutz</w:t>
      </w:r>
    </w:p>
    <w:p>
      <w:r>
        <w:rPr>
          <w:i/>
          <w:color w:val="757570"/>
          <w:sz w:val="18"/>
        </w:rPr>
        <w:t>Rein KI-erzeugte Logos und Texte sind oft nicht urheberrechtlich geschützt (AG München, 13.02.2026). Regeln zur Eingabe interner Informationen gehören zu angemessenen Geheimhaltungsmaßnahmen.</w:t>
      </w:r>
    </w:p>
    <w:p>
      <w:r>
        <w:t>Logos, Marken, Slogans und andere Gestaltungen, die wir schützen oder exklusiv nutzen wollen, gestalten oder bearbeiten wir wesentlich selbst und dokumentieren das.</w:t>
      </w:r>
    </w:p>
    <w:p>
      <w:r>
        <w:t>Fremde Texte, Bilder und Codes geben wir nur in freigegebene Werkzeuge ein, wenn wir sie nutzen dürfen. KI-Ergebnisse prüfen wir vor der Veröffentlichung auf erkennbare fremde Werke.</w:t>
      </w:r>
    </w:p>
    <w:p>
      <w:r>
        <w:t>Geschäftsgeheimnisse und personenbezogene Daten behandeln wir nach der Daten-Ampel. Bei Fragen zum Datenschutz hilft der Datenschutzbeauftragte: [Kontakt].</w:t>
      </w:r>
    </w:p>
    <w:p/>
    <w:p>
      <w:pPr>
        <w:pStyle w:val="Heading1"/>
      </w:pPr>
      <w:r>
        <w:t>8  Neue Werkzeuge und Ausnahmen</w:t>
      </w:r>
    </w:p>
    <w:p>
      <w:r>
        <w:rPr>
          <w:i/>
          <w:color w:val="757570"/>
          <w:sz w:val="18"/>
        </w:rPr>
        <w:t>Ein kurzer Weg verhindert, dass Werkzeuge ungefragt genutzt werden.</w:t>
      </w:r>
    </w:p>
    <w:p>
      <w:r>
        <w:t>Neue Werkzeuge beantragt ihr formlos bei der verantwortlichen Stelle: wer, wofür, mit welcher Datenklasse. Datenschutz und IT prüfen Vertrag, Datenübermittlung, Einstellungen und Anmeldung. Erfasst das Werkzeug Nutzungsdaten, wird der Betriebsrat beteiligt.</w:t>
      </w:r>
    </w:p>
    <w:p>
      <w:r>
        <w:t>Freigegebene Werkzeuge werden mit Datenklasse und Zweck in Abschnitt 3 eingetragen. Für Pilotprojekte kann die Geschäftsführung befristete Ausnahmen genehmigen, nur mit öffentlichen oder internen Daten.</w:t>
      </w:r>
    </w:p>
    <w:p/>
    <w:p>
      <w:pPr>
        <w:pStyle w:val="Heading1"/>
      </w:pPr>
      <w:r>
        <w:t>9  Schulung</w:t>
      </w:r>
    </w:p>
    <w:p>
      <w:r>
        <w:rPr>
          <w:i/>
          <w:color w:val="757570"/>
          <w:sz w:val="18"/>
        </w:rPr>
        <w:t>Verbindet die Richtlinie mit eurem KI-Kompetenz-Plan nach Art. 4 KI-Verordnung (Vorlage: marschfahrt.de/blog/ki-kompetenz-pflicht-schulung-artikel-4-ai-act).</w:t>
      </w:r>
    </w:p>
    <w:p>
      <w:r>
        <w:t>Zugang zu KI-Werkzeugen erhält, wer das Grundmodul KI im Arbeitsalltag absolviert hat. Für einzelne Werkzeuge gibt es eine Kurzeinweisung. Schulungen werden im Schulungsnachweis dokumentiert.</w:t>
      </w:r>
    </w:p>
    <w:p/>
    <w:p>
      <w:pPr>
        <w:pStyle w:val="Heading1"/>
      </w:pPr>
      <w:r>
        <w:t>10  Fragen, Vorfälle, Verstöße</w:t>
      </w:r>
    </w:p>
    <w:p>
      <w:r>
        <w:rPr>
          <w:i/>
          <w:color w:val="757570"/>
          <w:sz w:val="18"/>
        </w:rPr>
        <w:t>Lernorientierte Fehlerkultur: Wer meldet, hilft. Arbeitsrechtliche Folgen nur bei Vorsatz oder grober Fahrlässigkeit.</w:t>
      </w:r>
    </w:p>
    <w:p>
      <w:r>
        <w:t>Fragen beantwortet [Ansprechperson, Kontakt]. Sind versehentlich Daten in ein falsches Werkzeug gelangt, meldet ihr das sofort an dieselbe Stelle und an den Datenschutzbeauftragten, damit wir reagieren können.</w:t>
      </w:r>
    </w:p>
    <w:p>
      <w:r>
        <w:t>Versehen sind Anlass zum Lernen. Vorsätzliche oder grob fahrlässige Verstöße können arbeitsrechtliche Folgen haben.</w:t>
      </w:r>
    </w:p>
    <w:p/>
    <w:p>
      <w:pPr>
        <w:pStyle w:val="Heading1"/>
      </w:pPr>
      <w:r>
        <w:t>11  Überprüfung und Inkrafttreten</w:t>
      </w:r>
    </w:p>
    <w:p>
      <w:r>
        <w:rPr>
          <w:i/>
          <w:color w:val="757570"/>
          <w:sz w:val="18"/>
        </w:rPr>
        <w:t>Die Liste in Abschnitt 3 ändert sich oft, der Rest selten.</w:t>
      </w:r>
    </w:p>
    <w:p>
      <w:r>
        <w:t>Diese Richtlinie gilt ab [Datum]. Sie wird mindestens jährlich und bei neuen Werkzeugen oder Rechtsänderungen überprüft. Änderungen an Abschnitt 3 nimmt die verantwortliche Stelle vor und gibt sie bekannt.</w:t>
      </w:r>
    </w:p>
    <w:p/>
    <w:p>
      <w:pPr>
        <w:pStyle w:val="Heading1"/>
      </w:pPr>
      <w:r>
        <w:t>12  Kenntnisnahme</w:t>
      </w:r>
    </w:p>
    <w:p>
      <w:r>
        <w:rPr>
          <w:i/>
          <w:color w:val="757570"/>
          <w:sz w:val="18"/>
        </w:rPr>
        <w:t>Bei Einführung von allen Beschäftigten mit KI-Zugang bestätigen lassen, auch digital.</w:t>
      </w:r>
    </w:p>
    <w:p>
      <w:r>
        <w:t>Ich habe die Richtlinie zur Nutzung von KI-Werkzeugen gelesen und verstanden.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</w:t>
              <w:br/>
              <w:t>Name, Abteilung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</w:t>
              <w:br/>
              <w:t>Ort, Datum, Unterschrift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57570"/>
        <w:sz w:val="16"/>
      </w:rPr>
      <w:t>KI-Richtlinie · Vorlage von marschfahrt.de · Stand 10/2026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